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631CA" w:rsidRPr="006849AC" w:rsidRDefault="005631CA" w:rsidP="005631CA">
      <w:pPr>
        <w:rPr>
          <w:sz w:val="44"/>
          <w:szCs w:val="44"/>
        </w:rPr>
      </w:pPr>
      <w:r>
        <w:rPr>
          <w:sz w:val="44"/>
          <w:szCs w:val="44"/>
        </w:rPr>
        <w:t>Annexe 2 – Description des</w:t>
      </w:r>
      <w:r w:rsidRPr="006849AC">
        <w:rPr>
          <w:sz w:val="44"/>
        </w:rPr>
        <w:t xml:space="preserve"> dispositifs spécifiques</w:t>
      </w:r>
    </w:p>
    <w:p w:rsidR="005631CA" w:rsidRPr="005E601C" w:rsidRDefault="005631CA" w:rsidP="005631CA">
      <w:pPr>
        <w:rPr>
          <w:b/>
        </w:rPr>
      </w:pPr>
      <w:r w:rsidRPr="005E601C">
        <w:rPr>
          <w:b/>
        </w:rPr>
        <w:t>L’audioguide</w:t>
      </w:r>
    </w:p>
    <w:p w:rsidR="005631CA" w:rsidRDefault="005631CA" w:rsidP="005631CA">
      <w:r w:rsidRPr="005E601C">
        <w:rPr>
          <w:noProof/>
        </w:rPr>
        <w:drawing>
          <wp:anchor distT="0" distB="0" distL="114300" distR="114300" simplePos="0" relativeHeight="251659264" behindDoc="1" locked="0" layoutInCell="1" allowOverlap="1" wp14:anchorId="268DD500" wp14:editId="2A312017">
            <wp:simplePos x="0" y="0"/>
            <wp:positionH relativeFrom="margin">
              <wp:posOffset>2171700</wp:posOffset>
            </wp:positionH>
            <wp:positionV relativeFrom="paragraph">
              <wp:posOffset>176530</wp:posOffset>
            </wp:positionV>
            <wp:extent cx="2393950" cy="1498692"/>
            <wp:effectExtent l="0" t="0" r="6350" b="6350"/>
            <wp:wrapTight wrapText="bothSides">
              <wp:wrapPolygon edited="0">
                <wp:start x="0" y="0"/>
                <wp:lineTo x="0" y="21417"/>
                <wp:lineTo x="21485" y="21417"/>
                <wp:lineTo x="21485"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Lst>
                    </a:blip>
                    <a:stretch>
                      <a:fillRect/>
                    </a:stretch>
                  </pic:blipFill>
                  <pic:spPr>
                    <a:xfrm>
                      <a:off x="0" y="0"/>
                      <a:ext cx="2393950" cy="1498692"/>
                    </a:xfrm>
                    <a:prstGeom prst="rect">
                      <a:avLst/>
                    </a:prstGeom>
                  </pic:spPr>
                </pic:pic>
              </a:graphicData>
            </a:graphic>
          </wp:anchor>
        </w:drawing>
      </w:r>
      <w:r>
        <w:rPr>
          <w:noProof/>
        </w:rPr>
        <w:drawing>
          <wp:inline distT="0" distB="0" distL="0" distR="0" wp14:anchorId="39A8E9F3" wp14:editId="2023CFB8">
            <wp:extent cx="1821180" cy="1837055"/>
            <wp:effectExtent l="0" t="0" r="762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ite_webapp.jpg"/>
                    <pic:cNvPicPr/>
                  </pic:nvPicPr>
                  <pic:blipFill rotWithShape="1">
                    <a:blip r:embed="rId5" cstate="print">
                      <a:extLst>
                        <a:ext uri="{28A0092B-C50C-407E-A947-70E740481C1C}">
                          <a14:useLocalDpi xmlns:a14="http://schemas.microsoft.com/office/drawing/2010/main" val="0"/>
                        </a:ext>
                      </a:extLst>
                    </a:blip>
                    <a:srcRect l="25661"/>
                    <a:stretch/>
                  </pic:blipFill>
                  <pic:spPr bwMode="auto">
                    <a:xfrm>
                      <a:off x="0" y="0"/>
                      <a:ext cx="1821180" cy="1837055"/>
                    </a:xfrm>
                    <a:prstGeom prst="rect">
                      <a:avLst/>
                    </a:prstGeom>
                    <a:ln>
                      <a:noFill/>
                    </a:ln>
                    <a:extLst>
                      <a:ext uri="{53640926-AAD7-44D8-BBD7-CCE9431645EC}">
                        <a14:shadowObscured xmlns:a14="http://schemas.microsoft.com/office/drawing/2010/main"/>
                      </a:ext>
                    </a:extLst>
                  </pic:spPr>
                </pic:pic>
              </a:graphicData>
            </a:graphic>
          </wp:inline>
        </w:drawing>
      </w:r>
    </w:p>
    <w:p w:rsidR="0009735A" w:rsidRPr="0009735A" w:rsidRDefault="0009735A" w:rsidP="005631CA">
      <w:pPr>
        <w:rPr>
          <w:u w:val="single"/>
        </w:rPr>
      </w:pPr>
      <w:r w:rsidRPr="0009735A">
        <w:rPr>
          <w:u w:val="single"/>
        </w:rPr>
        <w:t>Conception et production : DDCP</w:t>
      </w:r>
    </w:p>
    <w:p w:rsidR="0009735A" w:rsidRPr="0009735A" w:rsidRDefault="0009735A" w:rsidP="005631CA">
      <w:pPr>
        <w:rPr>
          <w:u w:val="single"/>
        </w:rPr>
      </w:pPr>
      <w:r w:rsidRPr="0009735A">
        <w:rPr>
          <w:u w:val="single"/>
        </w:rPr>
        <w:t>Graphisme - signalétique : scénographie</w:t>
      </w:r>
    </w:p>
    <w:p w:rsidR="005631CA" w:rsidRDefault="005631CA" w:rsidP="005631CA">
      <w:r>
        <w:t xml:space="preserve">L’audioguide du Mucem est accessible sur le smartphone des visiteurs, via l’url visit.mucem.org. Le musée ne met pas à disposition un prêt de matériel ; </w:t>
      </w:r>
    </w:p>
    <w:p w:rsidR="005631CA" w:rsidRDefault="005631CA" w:rsidP="005631CA">
      <w:r>
        <w:t>Chaque parcours est constitué d’une quinzaine de pistes audio, présentant les points principaux d’une exposition, à travers une sélection d’œuvres les plus importantes. Nous privilégions l’interview des commissaires (ou artistes, experts…) pour un ton vivant et rythmé. L’enregistrement se fait entre 6 et 3 mois avant l’ouverture de l’exposition</w:t>
      </w:r>
    </w:p>
    <w:p w:rsidR="005631CA" w:rsidRDefault="005631CA" w:rsidP="005631CA">
      <w:r>
        <w:t>Langues proposées : français, anglais, allemand, italien et espagnol</w:t>
      </w:r>
    </w:p>
    <w:p w:rsidR="005631CA" w:rsidRDefault="005631CA" w:rsidP="005631CA">
      <w:r>
        <w:t>Signalétique</w:t>
      </w:r>
      <w:r w:rsidR="0009735A">
        <w:t xml:space="preserve"> et graphisme </w:t>
      </w:r>
      <w:r>
        <w:t xml:space="preserve">: phrase d’accroche en entrée de l’exposition. Le reste du parcours est accessible via des </w:t>
      </w:r>
      <w:proofErr w:type="spellStart"/>
      <w:r>
        <w:t>Qrcodes</w:t>
      </w:r>
      <w:proofErr w:type="spellEnd"/>
      <w:r>
        <w:t xml:space="preserve"> et un </w:t>
      </w:r>
      <w:proofErr w:type="spellStart"/>
      <w:r>
        <w:t>picto</w:t>
      </w:r>
      <w:proofErr w:type="spellEnd"/>
      <w:r>
        <w:t xml:space="preserve"> casque repérable des vis</w:t>
      </w:r>
      <w:r w:rsidR="00CA3C32">
        <w:t>i</w:t>
      </w:r>
      <w:bookmarkStart w:id="0" w:name="_GoBack"/>
      <w:bookmarkEnd w:id="0"/>
      <w:r>
        <w:t>teurs.</w:t>
      </w:r>
    </w:p>
    <w:p w:rsidR="005631CA" w:rsidRDefault="005631CA" w:rsidP="005631CA">
      <w:pPr>
        <w:rPr>
          <w:b/>
        </w:rPr>
      </w:pPr>
      <w:r w:rsidRPr="005E601C">
        <w:rPr>
          <w:b/>
        </w:rPr>
        <w:t>Les cartels enfants</w:t>
      </w:r>
    </w:p>
    <w:p w:rsidR="005631CA" w:rsidRDefault="005631CA" w:rsidP="005631CA">
      <w:pPr>
        <w:rPr>
          <w:b/>
        </w:rPr>
      </w:pPr>
      <w:r>
        <w:rPr>
          <w:noProof/>
        </w:rPr>
        <w:drawing>
          <wp:inline distT="0" distB="0" distL="0" distR="0" wp14:anchorId="18E4816A" wp14:editId="1145827F">
            <wp:extent cx="3175124" cy="2082800"/>
            <wp:effectExtent l="0" t="0" r="635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3175124" cy="2082800"/>
                    </a:xfrm>
                    <a:prstGeom prst="rect">
                      <a:avLst/>
                    </a:prstGeom>
                  </pic:spPr>
                </pic:pic>
              </a:graphicData>
            </a:graphic>
          </wp:inline>
        </w:drawing>
      </w:r>
    </w:p>
    <w:p w:rsidR="0009735A" w:rsidRPr="0009735A" w:rsidRDefault="0009735A" w:rsidP="005631CA">
      <w:pPr>
        <w:rPr>
          <w:u w:val="single"/>
        </w:rPr>
      </w:pPr>
      <w:r w:rsidRPr="0009735A">
        <w:rPr>
          <w:u w:val="single"/>
        </w:rPr>
        <w:t>Conception, rédaction : assurées par le DDCP</w:t>
      </w:r>
    </w:p>
    <w:p w:rsidR="0009735A" w:rsidRPr="0009735A" w:rsidRDefault="0009735A" w:rsidP="005631CA">
      <w:pPr>
        <w:rPr>
          <w:u w:val="single"/>
        </w:rPr>
      </w:pPr>
      <w:r w:rsidRPr="0009735A">
        <w:rPr>
          <w:u w:val="single"/>
        </w:rPr>
        <w:t>Graphisme et illustrations : scénographie</w:t>
      </w:r>
    </w:p>
    <w:p w:rsidR="005631CA" w:rsidRDefault="005631CA" w:rsidP="005631CA">
      <w:r>
        <w:t xml:space="preserve">Destinés à une tranche d’âge spécifique, le plus souvent aux enfants déjà lecteurs, les cartels enfants proposent un parcours particulier au sein de l’exposition, à hauteur d’enfant. Constitués d’un très </w:t>
      </w:r>
      <w:r>
        <w:lastRenderedPageBreak/>
        <w:t xml:space="preserve">court texte et d’une illustration, il se termine généralement par une adresse à l’enfant, avec un jeu à effectuer, des observations à faire, etc. </w:t>
      </w:r>
    </w:p>
    <w:p w:rsidR="005631CA" w:rsidRDefault="005631CA" w:rsidP="005631CA">
      <w:r>
        <w:t xml:space="preserve"> Graphisme : leur graphisme se distingue des cartels courants avec une esthétique plus ludique. L’accrochage est également spécifique, à une hauteur plus basse.</w:t>
      </w:r>
    </w:p>
    <w:p w:rsidR="005631CA" w:rsidRDefault="005631CA" w:rsidP="005631CA">
      <w:r>
        <w:t xml:space="preserve">Volume : environ une dizaine de cartels </w:t>
      </w:r>
    </w:p>
    <w:p w:rsidR="005631CA" w:rsidRDefault="005631CA" w:rsidP="005631CA">
      <w:pPr>
        <w:rPr>
          <w:b/>
        </w:rPr>
      </w:pPr>
      <w:r>
        <w:rPr>
          <w:noProof/>
        </w:rPr>
        <w:drawing>
          <wp:anchor distT="0" distB="0" distL="114300" distR="114300" simplePos="0" relativeHeight="251664384" behindDoc="0" locked="0" layoutInCell="1" allowOverlap="1" wp14:anchorId="32AC0473" wp14:editId="0C33801B">
            <wp:simplePos x="0" y="0"/>
            <wp:positionH relativeFrom="column">
              <wp:posOffset>1035685</wp:posOffset>
            </wp:positionH>
            <wp:positionV relativeFrom="paragraph">
              <wp:posOffset>59690</wp:posOffset>
            </wp:positionV>
            <wp:extent cx="952500" cy="51054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52500"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631CA" w:rsidRDefault="005631CA" w:rsidP="005631CA">
      <w:pPr>
        <w:rPr>
          <w:b/>
        </w:rPr>
      </w:pPr>
      <w:r w:rsidRPr="005E601C">
        <w:rPr>
          <w:b/>
        </w:rPr>
        <w:t>Les cartels FAL</w:t>
      </w:r>
    </w:p>
    <w:p w:rsidR="0009735A" w:rsidRDefault="0009735A" w:rsidP="005631CA">
      <w:pPr>
        <w:rPr>
          <w:b/>
        </w:rPr>
      </w:pPr>
    </w:p>
    <w:p w:rsidR="0009735A" w:rsidRPr="0009735A" w:rsidRDefault="0009735A" w:rsidP="005631CA">
      <w:pPr>
        <w:rPr>
          <w:u w:val="single"/>
        </w:rPr>
      </w:pPr>
      <w:r w:rsidRPr="0009735A">
        <w:rPr>
          <w:u w:val="single"/>
        </w:rPr>
        <w:t>Conception, rédaction : prise en charge par le DDC</w:t>
      </w:r>
      <w:r>
        <w:rPr>
          <w:u w:val="single"/>
        </w:rPr>
        <w:t>P</w:t>
      </w:r>
    </w:p>
    <w:p w:rsidR="0009735A" w:rsidRPr="0009735A" w:rsidRDefault="0009735A" w:rsidP="005631CA">
      <w:pPr>
        <w:rPr>
          <w:u w:val="single"/>
        </w:rPr>
      </w:pPr>
      <w:r>
        <w:rPr>
          <w:u w:val="single"/>
        </w:rPr>
        <w:t>Graphisme : assuré par la scénographie (possibilité d’illustrations)</w:t>
      </w:r>
    </w:p>
    <w:p w:rsidR="005631CA" w:rsidRPr="005E601C" w:rsidRDefault="005631CA" w:rsidP="005631CA">
      <w:pPr>
        <w:rPr>
          <w:b/>
        </w:rPr>
      </w:pPr>
      <w:r>
        <w:rPr>
          <w:noProof/>
        </w:rPr>
        <w:drawing>
          <wp:inline distT="0" distB="0" distL="0" distR="0" wp14:anchorId="2EC6347F" wp14:editId="04D8B7D1">
            <wp:extent cx="5760720" cy="251650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2516505"/>
                    </a:xfrm>
                    <a:prstGeom prst="rect">
                      <a:avLst/>
                    </a:prstGeom>
                  </pic:spPr>
                </pic:pic>
              </a:graphicData>
            </a:graphic>
          </wp:inline>
        </w:drawing>
      </w:r>
    </w:p>
    <w:p w:rsidR="005631CA" w:rsidRDefault="005631CA" w:rsidP="005631CA">
      <w:r>
        <w:rPr>
          <w:noProof/>
        </w:rPr>
        <w:drawing>
          <wp:anchor distT="0" distB="0" distL="114300" distR="114300" simplePos="0" relativeHeight="251663360" behindDoc="0" locked="0" layoutInCell="1" allowOverlap="1" wp14:anchorId="091091F0" wp14:editId="5BBB62D4">
            <wp:simplePos x="0" y="0"/>
            <wp:positionH relativeFrom="column">
              <wp:posOffset>2315845</wp:posOffset>
            </wp:positionH>
            <wp:positionV relativeFrom="paragraph">
              <wp:posOffset>11430</wp:posOffset>
            </wp:positionV>
            <wp:extent cx="3368040" cy="3368040"/>
            <wp:effectExtent l="0" t="0" r="381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68040" cy="3368040"/>
                    </a:xfrm>
                    <a:prstGeom prst="rect">
                      <a:avLst/>
                    </a:prstGeom>
                    <a:noFill/>
                    <a:ln>
                      <a:noFill/>
                    </a:ln>
                  </pic:spPr>
                </pic:pic>
              </a:graphicData>
            </a:graphic>
            <wp14:sizeRelH relativeFrom="margin">
              <wp14:pctWidth>0</wp14:pctWidth>
            </wp14:sizeRelH>
            <wp14:sizeRelV relativeFrom="margin">
              <wp14:pctHeight>0</wp14:pctHeight>
            </wp14:sizeRelV>
          </wp:anchor>
        </w:drawing>
      </w:r>
      <w:r>
        <w:t>Les cartels écrits en Facile à Lire reprennent en partie les principes du Facile à Lire et à Comprendre – FALC. Ce sont des cartels simplifiés destinés à des publics qui présentent des difficultés de lecture (illettrisme, publics « </w:t>
      </w:r>
      <w:proofErr w:type="spellStart"/>
      <w:r>
        <w:t>dys</w:t>
      </w:r>
      <w:proofErr w:type="spellEnd"/>
      <w:r>
        <w:t xml:space="preserve"> », handicaps cognitifs, publics en apprentissage du français langue étrangère, jeunes lecteurs etc.). </w:t>
      </w:r>
    </w:p>
    <w:p w:rsidR="005631CA" w:rsidRDefault="005631CA" w:rsidP="005631CA"/>
    <w:p w:rsidR="005631CA" w:rsidRDefault="005631CA" w:rsidP="005631CA">
      <w:r>
        <w:t>Dans l’exposition, les cartels FAL peuvent porter sur des notions difficiles mais importantes à la compréhension de l’exposition. Ils peuvent également s’appuyer sur des œuvres et les expliquer.</w:t>
      </w:r>
    </w:p>
    <w:p w:rsidR="005631CA" w:rsidRDefault="005631CA" w:rsidP="005631CA">
      <w:r>
        <w:lastRenderedPageBreak/>
        <w:t>Le plus souvent, ils comportent un texte court (500 signes) et plusieurs visuels qui permettent de donner des informations de contexte (repères géographiques, historiques, tableau expliqué, etc.)</w:t>
      </w:r>
    </w:p>
    <w:p w:rsidR="005631CA" w:rsidRDefault="005631CA" w:rsidP="005631CA">
      <w:r>
        <w:t>Volume : une dizaine</w:t>
      </w:r>
    </w:p>
    <w:p w:rsidR="005631CA" w:rsidRDefault="005631CA" w:rsidP="005631CA">
      <w:r>
        <w:t xml:space="preserve">Graphisme : ce sont des cartels très simples en termes de graphisme avec un contraste suffisant, du texte et des reproductions de visuels ainsi qu’un </w:t>
      </w:r>
      <w:proofErr w:type="spellStart"/>
      <w:r>
        <w:t>picto</w:t>
      </w:r>
      <w:proofErr w:type="spellEnd"/>
      <w:r>
        <w:t xml:space="preserve"> « FAL ». Ils sont très pédagogiques. </w:t>
      </w:r>
    </w:p>
    <w:p w:rsidR="005631CA" w:rsidRPr="00976F7B" w:rsidRDefault="005631CA" w:rsidP="005631CA">
      <w:pPr>
        <w:rPr>
          <w:b/>
          <w:sz w:val="8"/>
        </w:rPr>
      </w:pPr>
    </w:p>
    <w:p w:rsidR="005631CA" w:rsidRDefault="005631CA" w:rsidP="005631CA">
      <w:pPr>
        <w:rPr>
          <w:b/>
        </w:rPr>
      </w:pPr>
      <w:r w:rsidRPr="005E601C">
        <w:rPr>
          <w:b/>
        </w:rPr>
        <w:t>Les cartels sensibles / spécifiques</w:t>
      </w:r>
    </w:p>
    <w:p w:rsidR="0009735A" w:rsidRDefault="0009735A" w:rsidP="005631CA">
      <w:pPr>
        <w:rPr>
          <w:u w:val="single"/>
        </w:rPr>
      </w:pPr>
      <w:r w:rsidRPr="0009735A">
        <w:rPr>
          <w:u w:val="single"/>
        </w:rPr>
        <w:t xml:space="preserve">Conception, rédaction : </w:t>
      </w:r>
      <w:proofErr w:type="spellStart"/>
      <w:r w:rsidRPr="0009735A">
        <w:rPr>
          <w:u w:val="single"/>
        </w:rPr>
        <w:t>piotées</w:t>
      </w:r>
      <w:proofErr w:type="spellEnd"/>
      <w:r w:rsidRPr="0009735A">
        <w:rPr>
          <w:u w:val="single"/>
        </w:rPr>
        <w:t xml:space="preserve"> par le DDCP</w:t>
      </w:r>
    </w:p>
    <w:p w:rsidR="0009735A" w:rsidRPr="0009735A" w:rsidRDefault="0009735A" w:rsidP="005631CA">
      <w:pPr>
        <w:rPr>
          <w:u w:val="single"/>
        </w:rPr>
      </w:pPr>
      <w:r>
        <w:rPr>
          <w:u w:val="single"/>
        </w:rPr>
        <w:t xml:space="preserve">Graphisme : </w:t>
      </w:r>
      <w:proofErr w:type="spellStart"/>
      <w:r>
        <w:rPr>
          <w:u w:val="single"/>
        </w:rPr>
        <w:t>assur</w:t>
      </w:r>
      <w:proofErr w:type="spellEnd"/>
      <w:r>
        <w:rPr>
          <w:u w:val="single"/>
        </w:rPr>
        <w:t xml:space="preserve"> par la scénographie</w:t>
      </w:r>
    </w:p>
    <w:p w:rsidR="005631CA" w:rsidRDefault="005631CA" w:rsidP="005631CA">
      <w:r>
        <w:rPr>
          <w:noProof/>
        </w:rPr>
        <w:drawing>
          <wp:anchor distT="0" distB="0" distL="114300" distR="114300" simplePos="0" relativeHeight="251660288" behindDoc="1" locked="0" layoutInCell="1" allowOverlap="1" wp14:anchorId="3ECB3329" wp14:editId="14768510">
            <wp:simplePos x="0" y="0"/>
            <wp:positionH relativeFrom="column">
              <wp:posOffset>2300605</wp:posOffset>
            </wp:positionH>
            <wp:positionV relativeFrom="paragraph">
              <wp:posOffset>59055</wp:posOffset>
            </wp:positionV>
            <wp:extent cx="1955800" cy="1955800"/>
            <wp:effectExtent l="0" t="0" r="6350" b="6350"/>
            <wp:wrapTight wrapText="bothSides">
              <wp:wrapPolygon edited="0">
                <wp:start x="0" y="0"/>
                <wp:lineTo x="0" y="21460"/>
                <wp:lineTo x="21460" y="21460"/>
                <wp:lineTo x="21460" y="0"/>
                <wp:lineTo x="0"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955800" cy="19558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21DB7023" wp14:editId="7A69A077">
            <wp:extent cx="2144434" cy="2124075"/>
            <wp:effectExtent l="0" t="0" r="825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64734" cy="2144183"/>
                    </a:xfrm>
                    <a:prstGeom prst="rect">
                      <a:avLst/>
                    </a:prstGeom>
                  </pic:spPr>
                </pic:pic>
              </a:graphicData>
            </a:graphic>
          </wp:inline>
        </w:drawing>
      </w:r>
    </w:p>
    <w:p w:rsidR="005631CA" w:rsidRDefault="005631CA" w:rsidP="005631CA">
      <w:r>
        <w:t xml:space="preserve">Sont dénommés cartels sensibles toutes formes de cartels qui accueillent une parole subjective, artistique, poétique ou personnelle, par opposition aux cartels scientifiques contenant les informations savantes sur les objets présentés. Ils peuvent être écrits par des </w:t>
      </w:r>
      <w:proofErr w:type="spellStart"/>
      <w:proofErr w:type="gramStart"/>
      <w:r>
        <w:t>auteurs.rices</w:t>
      </w:r>
      <w:proofErr w:type="spellEnd"/>
      <w:proofErr w:type="gramEnd"/>
      <w:r>
        <w:t>, des personnes reliés à l’objets mais qui donnent leurs point de vue ou apportent leur témoignage.</w:t>
      </w:r>
    </w:p>
    <w:p w:rsidR="005631CA" w:rsidRDefault="005631CA" w:rsidP="005631CA">
      <w:r>
        <w:t>Ce type de projet est spécifique, le volume et le graphisme sont à voir au cas par cas.</w:t>
      </w:r>
    </w:p>
    <w:p w:rsidR="005631CA" w:rsidRDefault="005631CA" w:rsidP="005631CA"/>
    <w:p w:rsidR="005631CA" w:rsidRDefault="005631CA" w:rsidP="005631CA">
      <w:pPr>
        <w:rPr>
          <w:b/>
        </w:rPr>
      </w:pPr>
      <w:r w:rsidRPr="005E601C">
        <w:rPr>
          <w:b/>
        </w:rPr>
        <w:t>Vidéos en LSF</w:t>
      </w:r>
      <w:r>
        <w:rPr>
          <w:b/>
        </w:rPr>
        <w:t xml:space="preserve"> (Langue des signes française)</w:t>
      </w:r>
      <w:r w:rsidRPr="005E601C">
        <w:rPr>
          <w:b/>
        </w:rPr>
        <w:t xml:space="preserve"> </w:t>
      </w:r>
      <w:r>
        <w:rPr>
          <w:b/>
        </w:rPr>
        <w:t xml:space="preserve">à destination des </w:t>
      </w:r>
      <w:r w:rsidRPr="005E601C">
        <w:rPr>
          <w:b/>
        </w:rPr>
        <w:t>public</w:t>
      </w:r>
      <w:r>
        <w:rPr>
          <w:b/>
        </w:rPr>
        <w:t>s</w:t>
      </w:r>
      <w:r w:rsidRPr="005E601C">
        <w:rPr>
          <w:b/>
        </w:rPr>
        <w:t xml:space="preserve"> sourds</w:t>
      </w:r>
      <w:r>
        <w:rPr>
          <w:b/>
        </w:rPr>
        <w:t xml:space="preserve"> (expositions permanentes)</w:t>
      </w:r>
    </w:p>
    <w:p w:rsidR="0009735A" w:rsidRDefault="0009735A" w:rsidP="005631CA">
      <w:pPr>
        <w:rPr>
          <w:u w:val="single"/>
        </w:rPr>
      </w:pPr>
      <w:r w:rsidRPr="005B55BA">
        <w:rPr>
          <w:u w:val="single"/>
        </w:rPr>
        <w:t>Conception, produ</w:t>
      </w:r>
      <w:r w:rsidR="005B55BA" w:rsidRPr="005B55BA">
        <w:rPr>
          <w:u w:val="single"/>
        </w:rPr>
        <w:t>c</w:t>
      </w:r>
      <w:r w:rsidRPr="005B55BA">
        <w:rPr>
          <w:u w:val="single"/>
        </w:rPr>
        <w:t>tion : pilotée par le DDC</w:t>
      </w:r>
      <w:r w:rsidR="005B55BA" w:rsidRPr="005B55BA">
        <w:rPr>
          <w:u w:val="single"/>
        </w:rPr>
        <w:t>P</w:t>
      </w:r>
    </w:p>
    <w:p w:rsidR="005B55BA" w:rsidRPr="005B55BA" w:rsidRDefault="005B55BA" w:rsidP="005631CA">
      <w:pPr>
        <w:rPr>
          <w:u w:val="single"/>
        </w:rPr>
      </w:pPr>
      <w:r>
        <w:rPr>
          <w:u w:val="single"/>
        </w:rPr>
        <w:t>Signalétique : pris en charge par la scénographie</w:t>
      </w:r>
    </w:p>
    <w:p w:rsidR="005631CA" w:rsidRPr="005E601C" w:rsidRDefault="005631CA" w:rsidP="005631CA">
      <w:pPr>
        <w:rPr>
          <w:b/>
        </w:rPr>
      </w:pPr>
      <w:r>
        <w:rPr>
          <w:noProof/>
        </w:rPr>
        <w:drawing>
          <wp:inline distT="0" distB="0" distL="0" distR="0" wp14:anchorId="413DE673" wp14:editId="7EBE8EEF">
            <wp:extent cx="2800350" cy="1614091"/>
            <wp:effectExtent l="0" t="0" r="0" b="571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07551" cy="1618241"/>
                    </a:xfrm>
                    <a:prstGeom prst="rect">
                      <a:avLst/>
                    </a:prstGeom>
                  </pic:spPr>
                </pic:pic>
              </a:graphicData>
            </a:graphic>
          </wp:inline>
        </w:drawing>
      </w:r>
      <w:r>
        <w:rPr>
          <w:b/>
        </w:rPr>
        <w:t xml:space="preserve">   </w:t>
      </w:r>
    </w:p>
    <w:p w:rsidR="005631CA" w:rsidRDefault="005631CA" w:rsidP="005631CA">
      <w:r>
        <w:rPr>
          <w:noProof/>
        </w:rPr>
        <w:lastRenderedPageBreak/>
        <w:drawing>
          <wp:anchor distT="0" distB="0" distL="114300" distR="114300" simplePos="0" relativeHeight="251661312" behindDoc="1" locked="0" layoutInCell="1" allowOverlap="1" wp14:anchorId="6F7E59C3" wp14:editId="5D468041">
            <wp:simplePos x="0" y="0"/>
            <wp:positionH relativeFrom="column">
              <wp:posOffset>71755</wp:posOffset>
            </wp:positionH>
            <wp:positionV relativeFrom="paragraph">
              <wp:posOffset>445770</wp:posOffset>
            </wp:positionV>
            <wp:extent cx="536575" cy="714375"/>
            <wp:effectExtent l="0" t="0" r="0" b="9525"/>
            <wp:wrapTight wrapText="bothSides">
              <wp:wrapPolygon edited="0">
                <wp:start x="0" y="0"/>
                <wp:lineTo x="0" y="21312"/>
                <wp:lineTo x="20705" y="21312"/>
                <wp:lineTo x="20705"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6575" cy="714375"/>
                    </a:xfrm>
                    <a:prstGeom prst="rect">
                      <a:avLst/>
                    </a:prstGeom>
                  </pic:spPr>
                </pic:pic>
              </a:graphicData>
            </a:graphic>
          </wp:anchor>
        </w:drawing>
      </w:r>
      <w:r>
        <w:t xml:space="preserve">Il s’agit d’une dizaine de vidéos, chargées sur l’appli audioguide du musée (+ prêt de </w:t>
      </w:r>
      <w:proofErr w:type="spellStart"/>
      <w:r>
        <w:t>visioguides</w:t>
      </w:r>
      <w:proofErr w:type="spellEnd"/>
      <w:r>
        <w:t xml:space="preserve">). Elles proposent d’expliquer le propos de l’exposition à travers une dizaine d’œuvres phares. </w:t>
      </w:r>
    </w:p>
    <w:p w:rsidR="005631CA" w:rsidRDefault="005631CA" w:rsidP="005631CA">
      <w:r>
        <w:t xml:space="preserve">Signalétique : </w:t>
      </w:r>
      <w:proofErr w:type="spellStart"/>
      <w:r>
        <w:t>picto</w:t>
      </w:r>
      <w:proofErr w:type="spellEnd"/>
      <w:r>
        <w:t xml:space="preserve"> LSF à apposer sur les textes de salle ou cartels des œuvres concernées</w:t>
      </w:r>
    </w:p>
    <w:p w:rsidR="005631CA" w:rsidRDefault="005631CA" w:rsidP="005631CA">
      <w:pPr>
        <w:rPr>
          <w:b/>
        </w:rPr>
      </w:pPr>
    </w:p>
    <w:p w:rsidR="005631CA" w:rsidRDefault="005631CA" w:rsidP="005631CA">
      <w:pPr>
        <w:rPr>
          <w:b/>
        </w:rPr>
      </w:pPr>
    </w:p>
    <w:p w:rsidR="005631CA" w:rsidRDefault="005631CA" w:rsidP="005631CA">
      <w:pPr>
        <w:rPr>
          <w:b/>
        </w:rPr>
      </w:pPr>
      <w:r w:rsidRPr="005E601C">
        <w:rPr>
          <w:b/>
        </w:rPr>
        <w:t xml:space="preserve">Le parcours tactile à destination des </w:t>
      </w:r>
      <w:r>
        <w:rPr>
          <w:b/>
        </w:rPr>
        <w:t>visiteurs en situation de handicap visuel (mal et non-voyants) (expositions permanentes)</w:t>
      </w:r>
    </w:p>
    <w:p w:rsidR="005B55BA" w:rsidRPr="005B55BA" w:rsidRDefault="005B55BA" w:rsidP="005631CA">
      <w:pPr>
        <w:rPr>
          <w:u w:val="single"/>
        </w:rPr>
      </w:pPr>
      <w:r w:rsidRPr="005B55BA">
        <w:rPr>
          <w:u w:val="single"/>
        </w:rPr>
        <w:t>Conception et production : DDC</w:t>
      </w:r>
      <w:r>
        <w:rPr>
          <w:u w:val="single"/>
        </w:rPr>
        <w:t>P</w:t>
      </w:r>
    </w:p>
    <w:p w:rsidR="005B55BA" w:rsidRPr="005B55BA" w:rsidRDefault="005B55BA" w:rsidP="005631CA">
      <w:pPr>
        <w:rPr>
          <w:u w:val="single"/>
        </w:rPr>
      </w:pPr>
      <w:r w:rsidRPr="005B55BA">
        <w:rPr>
          <w:u w:val="single"/>
        </w:rPr>
        <w:t>Emplacement et mobilier support à prévoir par la scénographie</w:t>
      </w:r>
    </w:p>
    <w:p w:rsidR="005631CA" w:rsidRDefault="005631CA" w:rsidP="005631CA">
      <w:pPr>
        <w:pStyle w:val="NormalWeb"/>
        <w:rPr>
          <w:noProof/>
        </w:rPr>
      </w:pPr>
      <w:r>
        <w:rPr>
          <w:noProof/>
        </w:rPr>
        <w:drawing>
          <wp:anchor distT="0" distB="0" distL="114300" distR="114300" simplePos="0" relativeHeight="251662336" behindDoc="1" locked="0" layoutInCell="1" allowOverlap="1" wp14:anchorId="74B32589" wp14:editId="17B3F681">
            <wp:simplePos x="0" y="0"/>
            <wp:positionH relativeFrom="column">
              <wp:posOffset>2865755</wp:posOffset>
            </wp:positionH>
            <wp:positionV relativeFrom="paragraph">
              <wp:posOffset>0</wp:posOffset>
            </wp:positionV>
            <wp:extent cx="2037410" cy="1860550"/>
            <wp:effectExtent l="0" t="0" r="1270" b="6350"/>
            <wp:wrapTight wrapText="bothSides">
              <wp:wrapPolygon edited="0">
                <wp:start x="0" y="0"/>
                <wp:lineTo x="0" y="21453"/>
                <wp:lineTo x="21411" y="21453"/>
                <wp:lineTo x="21411"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ucem_mediterranees_0intro_plan_tactile_detail_a.melllon.jpg"/>
                    <pic:cNvPicPr/>
                  </pic:nvPicPr>
                  <pic:blipFill rotWithShape="1">
                    <a:blip r:embed="rId14" cstate="print">
                      <a:extLst>
                        <a:ext uri="{28A0092B-C50C-407E-A947-70E740481C1C}">
                          <a14:useLocalDpi xmlns:a14="http://schemas.microsoft.com/office/drawing/2010/main" val="0"/>
                        </a:ext>
                      </a:extLst>
                    </a:blip>
                    <a:srcRect t="32450" b="6595"/>
                    <a:stretch/>
                  </pic:blipFill>
                  <pic:spPr bwMode="auto">
                    <a:xfrm>
                      <a:off x="0" y="0"/>
                      <a:ext cx="2037410" cy="186055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inline distT="0" distB="0" distL="0" distR="0" wp14:anchorId="6E045E8B" wp14:editId="38ABF6BA">
            <wp:extent cx="2559050" cy="1705610"/>
            <wp:effectExtent l="0" t="0" r="0" b="889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ucem_mediterranees_3station_architecture_tactile_a.mellon.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59050" cy="1705610"/>
                    </a:xfrm>
                    <a:prstGeom prst="rect">
                      <a:avLst/>
                    </a:prstGeom>
                  </pic:spPr>
                </pic:pic>
              </a:graphicData>
            </a:graphic>
          </wp:inline>
        </w:drawing>
      </w:r>
      <w:r>
        <w:t xml:space="preserve"> </w:t>
      </w:r>
    </w:p>
    <w:p w:rsidR="005631CA" w:rsidRDefault="005631CA" w:rsidP="005631CA">
      <w:r>
        <w:t xml:space="preserve">Au sein de l’exposition, un parcours d’une dizaine de bornes comporte : un texte en grands caractères qui présente la notion illustrée + sa version en braille, des éléments à toucher (reproduction d’œuvres de l’exposition, détails, etc.) + un </w:t>
      </w:r>
      <w:proofErr w:type="spellStart"/>
      <w:r>
        <w:t>picto</w:t>
      </w:r>
      <w:proofErr w:type="spellEnd"/>
      <w:r>
        <w:t xml:space="preserve"> pour accéder à un commentaire en audiodescription sur un appareil prêté par le musée. </w:t>
      </w:r>
    </w:p>
    <w:p w:rsidR="005631CA" w:rsidRDefault="005631CA" w:rsidP="005631CA">
      <w:r>
        <w:t>La première borne est installée dans la salle d’entrée de l’exposition et propose le plan tactile de l’exposition avec les différentes parties et un texte d’introduction.</w:t>
      </w:r>
    </w:p>
    <w:p w:rsidR="005631CA" w:rsidRDefault="005631CA" w:rsidP="005631CA">
      <w:r>
        <w:t>Ce parcours est très normé pour être utilisable par tous les visiteurs quel que soit leur handicap. La réalisation des plateaux tactiles est confiée à un prestataire dédié.</w:t>
      </w:r>
    </w:p>
    <w:p w:rsidR="005631CA" w:rsidRDefault="005631CA" w:rsidP="005631CA">
      <w:pPr>
        <w:rPr>
          <w:b/>
        </w:rPr>
      </w:pPr>
    </w:p>
    <w:p w:rsidR="005631CA" w:rsidRDefault="005631CA" w:rsidP="005631CA">
      <w:pPr>
        <w:rPr>
          <w:b/>
        </w:rPr>
      </w:pPr>
      <w:r w:rsidRPr="005E601C">
        <w:rPr>
          <w:b/>
        </w:rPr>
        <w:t>Les dispositifs multisensoriels / scénographiés</w:t>
      </w:r>
    </w:p>
    <w:p w:rsidR="005B55BA" w:rsidRPr="005B55BA" w:rsidRDefault="005B55BA" w:rsidP="005631CA">
      <w:r w:rsidRPr="005B55BA">
        <w:t>Conception : DDCP, production : au cas par cas</w:t>
      </w:r>
    </w:p>
    <w:p w:rsidR="005631CA" w:rsidRPr="005E601C" w:rsidRDefault="005631CA" w:rsidP="005631CA">
      <w:pPr>
        <w:rPr>
          <w:b/>
        </w:rPr>
      </w:pPr>
      <w:r>
        <w:rPr>
          <w:b/>
          <w:noProof/>
        </w:rPr>
        <w:lastRenderedPageBreak/>
        <w:drawing>
          <wp:inline distT="0" distB="0" distL="0" distR="0" wp14:anchorId="38251DB4" wp14:editId="02F15DF5">
            <wp:extent cx="3368040" cy="2247900"/>
            <wp:effectExtent l="0" t="0" r="381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DSC00838-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68040" cy="2247900"/>
                    </a:xfrm>
                    <a:prstGeom prst="rect">
                      <a:avLst/>
                    </a:prstGeom>
                  </pic:spPr>
                </pic:pic>
              </a:graphicData>
            </a:graphic>
          </wp:inline>
        </w:drawing>
      </w:r>
    </w:p>
    <w:p w:rsidR="005631CA" w:rsidRDefault="005631CA" w:rsidP="005631CA">
      <w:r>
        <w:t>Principes : les visiteurs plébiscitent souvent les espaces, au sein des expositions, qui proposent des choses à toucher, sentir, écouter, manipuler par eux-mêmes. Qu’ils soient ludiques, poétiques ou pédagogiques, ces espaces peuvent être proposés pour donner une autre dimension à l’exposition, pour favoriser l’appropriation des publics, pour les faire participer. Ils peuvent aussi constituer une pause multisensorielle et réparatrice.</w:t>
      </w:r>
    </w:p>
    <w:p w:rsidR="005631CA" w:rsidRDefault="005631CA" w:rsidP="005631CA">
      <w:r>
        <w:t>Ces espaces peuvent prendre différentes formes : plusieurs manip’ réparties dans le parcours de l’exposition, ou bien un espace unique, en début, fin ou milieu d’exposition.</w:t>
      </w:r>
    </w:p>
    <w:p w:rsidR="001254D9" w:rsidRDefault="005631CA">
      <w:r>
        <w:t>Projet à imaginer avec le commissariat en amont du projet scénographique.</w:t>
      </w:r>
    </w:p>
    <w:sectPr w:rsidR="001254D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1CA"/>
    <w:rsid w:val="0009735A"/>
    <w:rsid w:val="001778FA"/>
    <w:rsid w:val="005631CA"/>
    <w:rsid w:val="005B55BA"/>
    <w:rsid w:val="00CA3C32"/>
    <w:rsid w:val="00E31663"/>
    <w:rsid w:val="00F44F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B0290C"/>
  <w15:chartTrackingRefBased/>
  <w15:docId w15:val="{D03D0804-A4D3-4D80-A8F3-202192901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631CA"/>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semiHidden/>
    <w:unhideWhenUsed/>
    <w:rsid w:val="005631CA"/>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jpe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g"/><Relationship Id="rId15" Type="http://schemas.openxmlformats.org/officeDocument/2006/relationships/image" Target="media/image12.jpe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5</Pages>
  <Words>831</Words>
  <Characters>4573</Characters>
  <Application>Microsoft Office Word</Application>
  <DocSecurity>0</DocSecurity>
  <Lines>38</Lines>
  <Paragraphs>10</Paragraphs>
  <ScaleCrop>false</ScaleCrop>
  <HeadingPairs>
    <vt:vector size="2" baseType="variant">
      <vt:variant>
        <vt:lpstr>Titre</vt:lpstr>
      </vt:variant>
      <vt:variant>
        <vt:i4>1</vt:i4>
      </vt:variant>
    </vt:vector>
  </HeadingPairs>
  <TitlesOfParts>
    <vt:vector size="1" baseType="lpstr">
      <vt:lpstr/>
    </vt:vector>
  </TitlesOfParts>
  <Company>Mucem</Company>
  <LinksUpToDate>false</LinksUpToDate>
  <CharactersWithSpaces>5394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Celine MECHAIN</dc:creator>
  <cp:keywords/>
  <dc:description/>
  <cp:lastModifiedBy>Manuela JOGUET</cp:lastModifiedBy>
  <cp:revision>3</cp:revision>
  <dcterms:created xsi:type="dcterms:W3CDTF">2025-06-12T14:33:00Z</dcterms:created>
  <dcterms:modified xsi:type="dcterms:W3CDTF">2025-10-01T08:32:00Z</dcterms:modified>
</cp:coreProperties>
</file>